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D30" w:rsidRDefault="00A6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1790700" cy="666750"/>
            <wp:effectExtent l="0" t="0" r="0" b="0"/>
            <wp:docPr id="2" name="image1.png" descr="https://lh3.googleusercontent.com/x7f7JHnV7SETc0wuyii1o_7mYE4WdusGepPkfsoVGACjFYvWj1PatFfEv1ychDZ9C9QNVcovAp_CqWbkt034mWpA6PEe9geUIHIjrsN9--OZA5ZkzqO3XpsPGTsOuis5QYIaULG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x7f7JHnV7SETc0wuyii1o_7mYE4WdusGepPkfsoVGACjFYvWj1PatFfEv1ychDZ9C9QNVcovAp_CqWbkt034mWpA6PEe9geUIHIjrsN9--OZA5ZkzqO3XpsPGTsOuis5QYIaULG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3D30" w:rsidRDefault="00B53D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30" w:rsidRDefault="00A6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Press Release </w:t>
      </w:r>
    </w:p>
    <w:p w:rsidR="00B53D30" w:rsidRDefault="00B5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30" w:rsidRDefault="00A6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Adolescent Empowerment Program </w:t>
      </w:r>
      <w:proofErr w:type="spellStart"/>
      <w:r>
        <w:rPr>
          <w:rFonts w:ascii="Cambria" w:eastAsia="Cambria" w:hAnsi="Cambria" w:cs="Cambria"/>
          <w:b/>
          <w:color w:val="000000"/>
        </w:rPr>
        <w:t>Endline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Survey Results. Breakthrough’s 5-year long intervention in various districts of Uttar Pradesh proves social norm change is possible. </w:t>
      </w:r>
    </w:p>
    <w:p w:rsidR="00B53D30" w:rsidRDefault="00B53D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30" w:rsidRDefault="00A668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Cambria" w:eastAsia="Cambria" w:hAnsi="Cambria" w:cs="Cambria"/>
          <w:i/>
          <w:color w:val="000000"/>
        </w:rPr>
        <w:t>Awareness around violence against girls and boys sees a substantial increase: Brea</w:t>
      </w:r>
      <w:r>
        <w:rPr>
          <w:rFonts w:ascii="Cambria" w:eastAsia="Cambria" w:hAnsi="Cambria" w:cs="Cambria"/>
          <w:i/>
          <w:color w:val="000000"/>
        </w:rPr>
        <w:t>kthrough AEP Impact  </w:t>
      </w:r>
    </w:p>
    <w:p w:rsidR="00B53D30" w:rsidRDefault="00A6682F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Attitude towards non-acceptance of any form of violence against boys and girls has positively increased by 21% in intervention </w:t>
      </w:r>
      <w:proofErr w:type="spellStart"/>
      <w:r>
        <w:rPr>
          <w:rFonts w:ascii="Cambria" w:eastAsia="Cambria" w:hAnsi="Cambria" w:cs="Cambria"/>
          <w:i/>
          <w:color w:val="000000"/>
        </w:rPr>
        <w:t>endline</w:t>
      </w:r>
      <w:proofErr w:type="spellEnd"/>
      <w:r>
        <w:rPr>
          <w:rFonts w:ascii="Cambria" w:eastAsia="Cambria" w:hAnsi="Cambria" w:cs="Cambria"/>
          <w:i/>
          <w:color w:val="000000"/>
        </w:rPr>
        <w:t>, in comparison to control end line and baseline rounds. </w:t>
      </w:r>
    </w:p>
    <w:p w:rsidR="00B53D30" w:rsidRDefault="00A6682F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Adolescent discussion with parents regardi</w:t>
      </w:r>
      <w:r>
        <w:rPr>
          <w:rFonts w:ascii="Cambria" w:eastAsia="Cambria" w:hAnsi="Cambria" w:cs="Cambria"/>
          <w:i/>
          <w:color w:val="000000"/>
        </w:rPr>
        <w:t>ng life choices has steadily improved within the intervention areas during the end line, showcasing a 25 % increase over the baseline score. </w:t>
      </w:r>
    </w:p>
    <w:p w:rsidR="00B53D30" w:rsidRDefault="00B53D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3D30" w:rsidRDefault="00A6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Lucknow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, March 24, 2021: </w:t>
      </w:r>
      <w:hyperlink r:id="rId7">
        <w:r>
          <w:rPr>
            <w:rFonts w:ascii="Cambria" w:eastAsia="Cambria" w:hAnsi="Cambria" w:cs="Cambria"/>
            <w:color w:val="1155CC"/>
            <w:u w:val="single"/>
          </w:rPr>
          <w:t>Breakthrough</w:t>
        </w:r>
      </w:hyperlink>
      <w:r>
        <w:rPr>
          <w:rFonts w:ascii="Cambria" w:eastAsia="Cambria" w:hAnsi="Cambria" w:cs="Cambria"/>
          <w:color w:val="000000"/>
        </w:rPr>
        <w:t xml:space="preserve"> has been working with adol</w:t>
      </w:r>
      <w:r>
        <w:rPr>
          <w:rFonts w:ascii="Cambria" w:eastAsia="Cambria" w:hAnsi="Cambria" w:cs="Cambria"/>
          <w:color w:val="000000"/>
        </w:rPr>
        <w:t>escents through an umbrella program idea namely, Adolescent Empowerment Programme (AEP) since 2012. In UP, this Adolescent Empowerment Programme supported by IKEA Foundation has been operational since 2015-16 in 511 Gram Panchayats and 694 schools of 21 bl</w:t>
      </w:r>
      <w:r>
        <w:rPr>
          <w:rFonts w:ascii="Cambria" w:eastAsia="Cambria" w:hAnsi="Cambria" w:cs="Cambria"/>
          <w:color w:val="000000"/>
        </w:rPr>
        <w:t xml:space="preserve">ocks of 7 districts namely </w:t>
      </w:r>
      <w:proofErr w:type="spellStart"/>
      <w:r>
        <w:rPr>
          <w:rFonts w:ascii="Cambria" w:eastAsia="Cambria" w:hAnsi="Cambria" w:cs="Cambria"/>
          <w:color w:val="000000"/>
        </w:rPr>
        <w:t>Lucknow</w:t>
      </w:r>
      <w:proofErr w:type="spellEnd"/>
      <w:r>
        <w:rPr>
          <w:rFonts w:ascii="Cambria" w:eastAsia="Cambria" w:hAnsi="Cambria" w:cs="Cambria"/>
          <w:color w:val="000000"/>
        </w:rPr>
        <w:t xml:space="preserve">, Gorakhpur, </w:t>
      </w:r>
      <w:proofErr w:type="spellStart"/>
      <w:r>
        <w:rPr>
          <w:rFonts w:ascii="Cambria" w:eastAsia="Cambria" w:hAnsi="Cambria" w:cs="Cambria"/>
          <w:color w:val="000000"/>
        </w:rPr>
        <w:t>Jaunpur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Ghazipur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Maharajganj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Siddharth</w:t>
      </w:r>
      <w:proofErr w:type="spellEnd"/>
      <w:r>
        <w:rPr>
          <w:rFonts w:ascii="Cambria" w:eastAsia="Cambria" w:hAnsi="Cambria" w:cs="Cambria"/>
          <w:color w:val="000000"/>
        </w:rPr>
        <w:t xml:space="preserve"> Nagar and Varanasi. Under this, we worked with a cohort of 1,37,321 adolescents through ‘</w:t>
      </w:r>
      <w:proofErr w:type="spellStart"/>
      <w:r>
        <w:rPr>
          <w:rFonts w:ascii="Cambria" w:eastAsia="Cambria" w:hAnsi="Cambria" w:cs="Cambria"/>
          <w:color w:val="000000"/>
        </w:rPr>
        <w:t>Taaron</w:t>
      </w:r>
      <w:proofErr w:type="spellEnd"/>
      <w:r>
        <w:rPr>
          <w:rFonts w:ascii="Cambria" w:eastAsia="Cambria" w:hAnsi="Cambria" w:cs="Cambria"/>
          <w:color w:val="000000"/>
        </w:rPr>
        <w:t xml:space="preserve"> Ki </w:t>
      </w:r>
      <w:proofErr w:type="spellStart"/>
      <w:r>
        <w:rPr>
          <w:rFonts w:ascii="Cambria" w:eastAsia="Cambria" w:hAnsi="Cambria" w:cs="Cambria"/>
          <w:color w:val="000000"/>
        </w:rPr>
        <w:t>Toli</w:t>
      </w:r>
      <w:proofErr w:type="spellEnd"/>
      <w:r>
        <w:rPr>
          <w:rFonts w:ascii="Cambria" w:eastAsia="Cambria" w:hAnsi="Cambria" w:cs="Cambria"/>
          <w:color w:val="000000"/>
        </w:rPr>
        <w:t xml:space="preserve"> (an innovative life skill curriculum)’ sessions. We also worked</w:t>
      </w:r>
      <w:r>
        <w:rPr>
          <w:rFonts w:ascii="Cambria" w:eastAsia="Cambria" w:hAnsi="Cambria" w:cs="Cambria"/>
          <w:color w:val="000000"/>
        </w:rPr>
        <w:t xml:space="preserve"> with 10,189 women, 6,567 men and 4,705 of other stakeholders including PRI members, Front Line Workers, and Teachers.</w:t>
      </w:r>
    </w:p>
    <w:p w:rsidR="00B53D30" w:rsidRDefault="00A6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The programme evocatively calls out, ‘De </w:t>
      </w:r>
      <w:proofErr w:type="spellStart"/>
      <w:r>
        <w:rPr>
          <w:rFonts w:ascii="Cambria" w:eastAsia="Cambria" w:hAnsi="Cambria" w:cs="Cambria"/>
          <w:color w:val="000000"/>
        </w:rPr>
        <w:t>Taali</w:t>
      </w:r>
      <w:proofErr w:type="spellEnd"/>
      <w:r>
        <w:rPr>
          <w:rFonts w:ascii="Cambria" w:eastAsia="Cambria" w:hAnsi="Cambria" w:cs="Cambria"/>
          <w:color w:val="000000"/>
        </w:rPr>
        <w:t xml:space="preserve"> – </w:t>
      </w:r>
      <w:proofErr w:type="spellStart"/>
      <w:r>
        <w:rPr>
          <w:rFonts w:ascii="Cambria" w:eastAsia="Cambria" w:hAnsi="Cambria" w:cs="Cambria"/>
          <w:color w:val="000000"/>
        </w:rPr>
        <w:t>banegi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baat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saath-saath</w:t>
      </w:r>
      <w:proofErr w:type="spellEnd"/>
      <w:r>
        <w:rPr>
          <w:rFonts w:ascii="Cambria" w:eastAsia="Cambria" w:hAnsi="Cambria" w:cs="Cambria"/>
          <w:color w:val="000000"/>
        </w:rPr>
        <w:t>’, asking people to support these young lives by:</w:t>
      </w:r>
    </w:p>
    <w:p w:rsidR="00B53D30" w:rsidRDefault="00A6682F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</w:rPr>
        <w:t>Creation of  sa</w:t>
      </w:r>
      <w:r>
        <w:rPr>
          <w:rFonts w:ascii="Cambria" w:eastAsia="Cambria" w:hAnsi="Cambria" w:cs="Cambria"/>
          <w:color w:val="000000"/>
        </w:rPr>
        <w:t>fe spaces in schools and within their own communities</w:t>
      </w:r>
    </w:p>
    <w:p w:rsidR="00B53D30" w:rsidRDefault="00A6682F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</w:rPr>
        <w:t>Gain confidence by acquiring life skills</w:t>
      </w:r>
    </w:p>
    <w:p w:rsidR="00B53D30" w:rsidRDefault="00A6682F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</w:rPr>
        <w:t>Get access to healthcare services, irrespective of their gender</w:t>
      </w:r>
    </w:p>
    <w:p w:rsidR="00B53D30" w:rsidRDefault="00A6682F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</w:rPr>
        <w:t>Receive counselling on gender equity and reproductive rights</w:t>
      </w:r>
    </w:p>
    <w:p w:rsidR="00B53D30" w:rsidRDefault="00A6682F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</w:rPr>
        <w:t> Build an ecosystem in schools and t</w:t>
      </w:r>
      <w:r>
        <w:rPr>
          <w:rFonts w:ascii="Cambria" w:eastAsia="Cambria" w:hAnsi="Cambria" w:cs="Cambria"/>
          <w:color w:val="000000"/>
        </w:rPr>
        <w:t>he community in which adolescent voices are heard</w:t>
      </w:r>
    </w:p>
    <w:p w:rsidR="00B53D30" w:rsidRDefault="00B53D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30" w:rsidRDefault="00A6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u w:val="single"/>
        </w:rPr>
        <w:t xml:space="preserve">Impact of Adolescent Empowerment Program based on </w:t>
      </w:r>
      <w:proofErr w:type="spellStart"/>
      <w:r>
        <w:rPr>
          <w:rFonts w:ascii="Cambria" w:eastAsia="Cambria" w:hAnsi="Cambria" w:cs="Cambria"/>
          <w:b/>
          <w:color w:val="000000"/>
          <w:u w:val="single"/>
        </w:rPr>
        <w:t>Endline</w:t>
      </w:r>
      <w:proofErr w:type="spellEnd"/>
      <w:r>
        <w:rPr>
          <w:rFonts w:ascii="Cambria" w:eastAsia="Cambria" w:hAnsi="Cambria" w:cs="Cambria"/>
          <w:b/>
          <w:color w:val="000000"/>
          <w:u w:val="single"/>
        </w:rPr>
        <w:t xml:space="preserve"> survey results:</w:t>
      </w:r>
    </w:p>
    <w:p w:rsidR="00B53D30" w:rsidRDefault="00A6682F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Attitude towards non-acceptance of any form of violence against boys and girls has positively increased by 21% in intervention </w:t>
      </w:r>
      <w:proofErr w:type="spellStart"/>
      <w:r>
        <w:rPr>
          <w:rFonts w:ascii="Cambria" w:eastAsia="Cambria" w:hAnsi="Cambria" w:cs="Cambria"/>
          <w:color w:val="000000"/>
        </w:rPr>
        <w:t>endline</w:t>
      </w:r>
      <w:proofErr w:type="spellEnd"/>
      <w:r>
        <w:rPr>
          <w:rFonts w:ascii="Cambria" w:eastAsia="Cambria" w:hAnsi="Cambria" w:cs="Cambria"/>
          <w:color w:val="000000"/>
        </w:rPr>
        <w:t>, in comparison to control end line and baseline rounds. </w:t>
      </w:r>
    </w:p>
    <w:p w:rsidR="00B53D30" w:rsidRDefault="00A6682F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Adolescent discussion with parents regarding life choices has st</w:t>
      </w:r>
      <w:r>
        <w:rPr>
          <w:rFonts w:ascii="Cambria" w:eastAsia="Cambria" w:hAnsi="Cambria" w:cs="Cambria"/>
          <w:color w:val="000000"/>
        </w:rPr>
        <w:t>eadily improved within the intervention areas during the end line, showcasing a 25 % increase over the baseline score. </w:t>
      </w:r>
    </w:p>
    <w:p w:rsidR="00B53D30" w:rsidRDefault="00A6682F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Positive attitude towards freedom around communication has more than doubled from baseline (33%) to intervention end line (69%). </w:t>
      </w:r>
    </w:p>
    <w:p w:rsidR="00B53D30" w:rsidRDefault="00A6682F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Averag</w:t>
      </w:r>
      <w:r>
        <w:rPr>
          <w:rFonts w:ascii="Cambria" w:eastAsia="Cambria" w:hAnsi="Cambria" w:cs="Cambria"/>
          <w:color w:val="000000"/>
        </w:rPr>
        <w:t>e score capturing freedom of mobility for girls has witnessed an increase of over 37 % from the baseline (5.17) to that during the end line in intervention areas (7.12). </w:t>
      </w:r>
    </w:p>
    <w:p w:rsidR="00B53D30" w:rsidRDefault="00A6682F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Leisure time among boys and girls has also witnessed a substantial increase from the baseline. For the girls, leisure time has increased from 2.97 hours in baseline to 4.16 hours in the end line (40 % increase)</w:t>
      </w:r>
    </w:p>
    <w:p w:rsidR="00B53D30" w:rsidRDefault="00A6682F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Steady increase in the average number of year</w:t>
      </w:r>
      <w:r>
        <w:rPr>
          <w:rFonts w:ascii="Cambria" w:eastAsia="Cambria" w:hAnsi="Cambria" w:cs="Cambria"/>
          <w:color w:val="000000"/>
        </w:rPr>
        <w:t xml:space="preserve">s in school from baseline to that in end line intervention, both for boys (5 %) and girls (4 %).  Adolescents part of Breakthrough’s AEP have </w:t>
      </w:r>
      <w:proofErr w:type="spellStart"/>
      <w:r>
        <w:rPr>
          <w:rFonts w:ascii="Cambria" w:eastAsia="Cambria" w:hAnsi="Cambria" w:cs="Cambria"/>
          <w:color w:val="000000"/>
        </w:rPr>
        <w:t>rejoined</w:t>
      </w:r>
      <w:proofErr w:type="spellEnd"/>
      <w:r>
        <w:rPr>
          <w:rFonts w:ascii="Cambria" w:eastAsia="Cambria" w:hAnsi="Cambria" w:cs="Cambria"/>
          <w:color w:val="000000"/>
        </w:rPr>
        <w:t xml:space="preserve"> schools post lockdown in otherwise large dropouts across the country. </w:t>
      </w:r>
    </w:p>
    <w:p w:rsidR="00B53D30" w:rsidRDefault="00B5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30" w:rsidRDefault="00A6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Breakthrough’s CEO &amp; President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Bhattarcharya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said “we are inspired by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survey results here in Uttar Pradesh. Through this 5 year long Adolescent Empowerment Program we could make a difference in the lives of several boys and girls and create an environment where educatio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and health are given prevalence. We have seen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results how adolescents could build a dialogue against gender based violence. From Uttar Pradesh, Breakthrough will take the key learnings in other intervention states. We are happy to inform r</w:t>
      </w:r>
      <w:r>
        <w:rPr>
          <w:rFonts w:ascii="Times New Roman" w:eastAsia="Times New Roman" w:hAnsi="Times New Roman" w:cs="Times New Roman"/>
          <w:sz w:val="24"/>
          <w:szCs w:val="24"/>
        </w:rPr>
        <w:t>ecently Breakthrough partnered with Punjab Government to integrate a gender sensitisation curriculum for adolescents into the syllabus for all government schools in Punjab”</w:t>
      </w:r>
    </w:p>
    <w:p w:rsidR="00B53D30" w:rsidRDefault="00B5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30" w:rsidRDefault="00A6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i/>
          <w:color w:val="000000"/>
        </w:rPr>
        <w:t xml:space="preserve">(Data collected from around 120 households each from 9 villages in 6 intervention </w:t>
      </w:r>
      <w:r>
        <w:rPr>
          <w:rFonts w:ascii="Cambria" w:eastAsia="Cambria" w:hAnsi="Cambria" w:cs="Cambria"/>
          <w:i/>
          <w:color w:val="000000"/>
        </w:rPr>
        <w:t>districts. Mean Score: Evaluation of Boys and Girls at various age. 11-14, 15-18, 19-25, 25+)</w:t>
      </w:r>
    </w:p>
    <w:p w:rsidR="00B53D30" w:rsidRDefault="00A6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i/>
          <w:color w:val="000000"/>
        </w:rPr>
        <w:t>  </w:t>
      </w:r>
      <w:r>
        <w:rPr>
          <w:rFonts w:ascii="Cambria" w:eastAsia="Cambria" w:hAnsi="Cambria" w:cs="Cambria"/>
          <w:color w:val="000000"/>
        </w:rPr>
        <w:t> </w:t>
      </w:r>
    </w:p>
    <w:p w:rsidR="00B53D30" w:rsidRDefault="00B5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30" w:rsidRDefault="00A6682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222222"/>
        </w:rPr>
        <w:t>About Breakthrough:</w:t>
      </w:r>
    </w:p>
    <w:p w:rsidR="00B53D30" w:rsidRDefault="00A6682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222222"/>
        </w:rPr>
        <w:t>Breakthrough works towards making violence and discrimination against women and girls unacceptable. We change gender norms by working wit</w:t>
      </w:r>
      <w:r>
        <w:rPr>
          <w:rFonts w:ascii="Cambria" w:eastAsia="Cambria" w:hAnsi="Cambria" w:cs="Cambria"/>
          <w:color w:val="222222"/>
        </w:rPr>
        <w:t>h adolescents and youth, their families, and their communities, as well as by using media campaigns, the arts and popular culture to build a more equal world around us and create a more enabling environment.</w:t>
      </w:r>
    </w:p>
    <w:p w:rsidR="00B53D30" w:rsidRDefault="00A6682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222222"/>
        </w:rPr>
        <w:t xml:space="preserve">For more information, visit </w:t>
      </w:r>
      <w:hyperlink r:id="rId8">
        <w:r>
          <w:rPr>
            <w:rFonts w:ascii="Cambria" w:eastAsia="Cambria" w:hAnsi="Cambria" w:cs="Cambria"/>
            <w:color w:val="1155CC"/>
            <w:highlight w:val="white"/>
            <w:u w:val="single"/>
          </w:rPr>
          <w:t>https://inbreakthrough.org/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B53D30" w:rsidRDefault="00B53D30"/>
    <w:sectPr w:rsidR="00B53D3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E5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D00F4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00345A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30"/>
    <w:rsid w:val="00A6682F"/>
    <w:rsid w:val="00B5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EC824AE-1730-1945-946B-23BC54EB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F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0F2F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2FD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breakthrough.org/" TargetMode="External" /><Relationship Id="rId3" Type="http://schemas.openxmlformats.org/officeDocument/2006/relationships/styles" Target="styles.xml" /><Relationship Id="rId7" Type="http://schemas.openxmlformats.org/officeDocument/2006/relationships/hyperlink" Target="http://www.inbreakthrough.org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WI/HckbqnWOSyZ2OuV/OadZ1g==">AMUW2mWlLZWVMIuP0tQlBG4y7pros7dJhKPxoe/lTGe1BUu/R3qv2BTnBvKKh23du1oTrEr/0KLF5yWVXJqFLPEvMKCVjcY8AW4AjwsWTHUgLM5i1BAEHkYHrs3AQGEUp+MRiOztekoq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connectwithvineet@gmail.com</cp:lastModifiedBy>
  <cp:revision>2</cp:revision>
  <dcterms:created xsi:type="dcterms:W3CDTF">2021-03-24T10:36:00Z</dcterms:created>
  <dcterms:modified xsi:type="dcterms:W3CDTF">2021-03-24T10:36:00Z</dcterms:modified>
</cp:coreProperties>
</file>